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B9A6" w14:textId="77777777" w:rsidR="00491FED" w:rsidRPr="00EC71E9" w:rsidRDefault="00491FED" w:rsidP="00491FED">
      <w:pPr>
        <w:rPr>
          <w:rFonts w:ascii="Tahoma" w:eastAsia="Calibri" w:hAnsi="Tahoma" w:cs="Tahoma"/>
          <w:b/>
          <w:bCs/>
          <w:color w:val="00B0F0"/>
        </w:rPr>
      </w:pPr>
      <w:r w:rsidRPr="00EC71E9">
        <w:rPr>
          <w:rFonts w:ascii="Tahoma" w:eastAsia="Calibri" w:hAnsi="Tahoma" w:cs="Tahoma"/>
          <w:b/>
          <w:bCs/>
          <w:color w:val="00B0F0"/>
        </w:rPr>
        <w:t>Appendix K</w:t>
      </w:r>
    </w:p>
    <w:p w14:paraId="6AE1F2BD" w14:textId="77777777" w:rsidR="00491FED" w:rsidRPr="00C03360" w:rsidRDefault="00491FED" w:rsidP="00491FED">
      <w:pPr>
        <w:rPr>
          <w:rFonts w:ascii="Tahoma" w:eastAsia="Calibri" w:hAnsi="Tahoma" w:cs="Tahoma"/>
          <w:b/>
          <w:bCs/>
          <w:color w:val="000000"/>
        </w:rPr>
      </w:pPr>
    </w:p>
    <w:p w14:paraId="792A29E7" w14:textId="77777777" w:rsidR="00491FED" w:rsidRPr="00C03360" w:rsidRDefault="00491FED" w:rsidP="00491FED">
      <w:pPr>
        <w:rPr>
          <w:rFonts w:ascii="Tahoma" w:eastAsia="Calibri" w:hAnsi="Tahoma" w:cs="Tahoma"/>
          <w:b/>
          <w:bCs/>
          <w:color w:val="000000"/>
        </w:rPr>
      </w:pPr>
      <w:r w:rsidRPr="00C03360">
        <w:rPr>
          <w:rFonts w:ascii="Tahoma" w:eastAsia="Calibri" w:hAnsi="Tahoma" w:cs="Tahoma"/>
          <w:b/>
          <w:bCs/>
          <w:color w:val="000000"/>
        </w:rPr>
        <w:t xml:space="preserve">Indoor and outdoor exercise and sport </w:t>
      </w:r>
    </w:p>
    <w:p w14:paraId="61967CD3" w14:textId="77777777" w:rsidR="00491FED" w:rsidRPr="00C03360" w:rsidRDefault="00491FED" w:rsidP="00491FED">
      <w:pPr>
        <w:rPr>
          <w:rFonts w:ascii="Tahoma" w:eastAsia="Calibri" w:hAnsi="Tahoma" w:cs="Tahoma"/>
          <w:color w:val="000000"/>
        </w:rPr>
      </w:pPr>
    </w:p>
    <w:p w14:paraId="653F98DF" w14:textId="77777777" w:rsidR="00491FED" w:rsidRDefault="00491FED" w:rsidP="00491FED">
      <w:pPr>
        <w:rPr>
          <w:rFonts w:ascii="Tahoma" w:eastAsia="Calibri" w:hAnsi="Tahoma" w:cs="Tahoma"/>
          <w:color w:val="0B0C0C"/>
          <w:sz w:val="22"/>
          <w:szCs w:val="22"/>
          <w:shd w:val="clear" w:color="auto" w:fill="FFFFFF"/>
        </w:rPr>
      </w:pPr>
      <w:r w:rsidRPr="00093E45">
        <w:rPr>
          <w:rFonts w:ascii="Tahoma" w:eastAsia="Calibri" w:hAnsi="Tahoma" w:cs="Tahoma"/>
          <w:color w:val="0B0C0C"/>
          <w:sz w:val="22"/>
          <w:szCs w:val="22"/>
          <w:shd w:val="clear" w:color="auto" w:fill="FFFFFF"/>
        </w:rPr>
        <w:t>This Appendix contains key points from Government guidance relating to sport and exercise in village and community halls and associated outdoor areas</w:t>
      </w:r>
      <w:r>
        <w:rPr>
          <w:rFonts w:ascii="Tahoma" w:eastAsia="Calibri" w:hAnsi="Tahoma" w:cs="Tahoma"/>
          <w:color w:val="0B0C0C"/>
          <w:sz w:val="22"/>
          <w:szCs w:val="22"/>
          <w:shd w:val="clear" w:color="auto" w:fill="FFFFFF"/>
        </w:rPr>
        <w:t>.</w:t>
      </w:r>
      <w:r w:rsidRPr="00093E45">
        <w:rPr>
          <w:rFonts w:ascii="Tahoma" w:eastAsia="Calibri" w:hAnsi="Tahoma" w:cs="Tahoma"/>
          <w:color w:val="0B0C0C"/>
          <w:sz w:val="22"/>
          <w:szCs w:val="22"/>
          <w:shd w:val="clear" w:color="auto" w:fill="FFFFFF"/>
        </w:rPr>
        <w:t xml:space="preserve"> </w:t>
      </w:r>
    </w:p>
    <w:p w14:paraId="53D88445" w14:textId="77777777" w:rsidR="00491FED" w:rsidRDefault="00491FED" w:rsidP="00491FED">
      <w:pPr>
        <w:rPr>
          <w:rFonts w:ascii="Tahoma" w:eastAsia="Calibri" w:hAnsi="Tahoma" w:cs="Tahoma"/>
          <w:color w:val="0B0C0C"/>
          <w:sz w:val="22"/>
          <w:szCs w:val="22"/>
          <w:shd w:val="clear" w:color="auto" w:fill="FFFFFF"/>
        </w:rPr>
      </w:pPr>
    </w:p>
    <w:p w14:paraId="34571C11" w14:textId="77777777" w:rsidR="00491FED" w:rsidRPr="00093E45" w:rsidRDefault="00491FED" w:rsidP="00491FED">
      <w:pPr>
        <w:rPr>
          <w:rFonts w:ascii="Tahoma" w:eastAsia="Calibri" w:hAnsi="Tahoma" w:cs="Tahoma"/>
          <w:color w:val="000000"/>
          <w:sz w:val="22"/>
          <w:szCs w:val="22"/>
        </w:rPr>
      </w:pPr>
      <w:r w:rsidRPr="00093E45">
        <w:rPr>
          <w:rFonts w:ascii="Tahoma" w:eastAsia="Calibri" w:hAnsi="Tahoma" w:cs="Tahoma"/>
          <w:b/>
          <w:bCs/>
          <w:color w:val="000000"/>
          <w:sz w:val="22"/>
          <w:szCs w:val="22"/>
        </w:rPr>
        <w:t>Governing body guidance</w:t>
      </w:r>
      <w:r w:rsidRPr="00093E45">
        <w:rPr>
          <w:rFonts w:ascii="Tahoma" w:eastAsia="Calibri" w:hAnsi="Tahoma" w:cs="Tahoma"/>
          <w:color w:val="000000"/>
          <w:sz w:val="22"/>
          <w:szCs w:val="22"/>
        </w:rPr>
        <w:t xml:space="preserve">: Sport and exercise </w:t>
      </w:r>
      <w:r>
        <w:rPr>
          <w:rFonts w:ascii="Tahoma" w:eastAsia="Calibri" w:hAnsi="Tahoma" w:cs="Tahoma"/>
          <w:color w:val="000000"/>
          <w:sz w:val="22"/>
          <w:szCs w:val="22"/>
        </w:rPr>
        <w:t>can only</w:t>
      </w:r>
      <w:r w:rsidRPr="00093E45">
        <w:rPr>
          <w:rFonts w:ascii="Tahoma" w:eastAsia="Calibri" w:hAnsi="Tahoma" w:cs="Tahoma"/>
          <w:color w:val="000000"/>
          <w:sz w:val="22"/>
          <w:szCs w:val="22"/>
        </w:rPr>
        <w:t xml:space="preserve"> take place </w:t>
      </w:r>
      <w:r>
        <w:rPr>
          <w:rFonts w:ascii="Tahoma" w:eastAsia="Calibri" w:hAnsi="Tahoma" w:cs="Tahoma"/>
          <w:color w:val="000000"/>
          <w:sz w:val="22"/>
          <w:szCs w:val="22"/>
        </w:rPr>
        <w:t xml:space="preserve">until Step 4 </w:t>
      </w:r>
      <w:r w:rsidRPr="00093E45">
        <w:rPr>
          <w:rFonts w:ascii="Tahoma" w:eastAsia="Calibri" w:hAnsi="Tahoma" w:cs="Tahoma"/>
          <w:color w:val="000000"/>
          <w:sz w:val="22"/>
          <w:szCs w:val="22"/>
        </w:rPr>
        <w:t>in accordance with guidance issued by the relevant governing body for the sport</w:t>
      </w:r>
      <w:r>
        <w:rPr>
          <w:rFonts w:ascii="Tahoma" w:eastAsia="Calibri" w:hAnsi="Tahoma" w:cs="Tahoma"/>
          <w:color w:val="000000"/>
          <w:sz w:val="22"/>
          <w:szCs w:val="22"/>
        </w:rPr>
        <w:t>.</w:t>
      </w:r>
      <w:r w:rsidRPr="00093E45">
        <w:rPr>
          <w:rFonts w:ascii="Tahoma" w:eastAsia="Calibri" w:hAnsi="Tahoma" w:cs="Tahoma"/>
          <w:color w:val="000000"/>
          <w:sz w:val="22"/>
          <w:szCs w:val="22"/>
        </w:rPr>
        <w:t xml:space="preserve"> ACRE recommends village and community halls require hirers to comply with such guidance, rather than trying to adapt hiring conditions and policies for each specific activity. </w:t>
      </w:r>
      <w:r>
        <w:rPr>
          <w:rFonts w:ascii="Tahoma" w:eastAsia="Calibri" w:hAnsi="Tahoma" w:cs="Tahoma"/>
          <w:color w:val="000000"/>
          <w:sz w:val="22"/>
          <w:szCs w:val="22"/>
        </w:rPr>
        <w:t xml:space="preserve">However, sports played as individuals rather than as teams, such as badminton and table tennis, are not required to produce such guidance. </w:t>
      </w:r>
    </w:p>
    <w:p w14:paraId="0CDC7938" w14:textId="77777777" w:rsidR="00491FED" w:rsidRDefault="00491FED" w:rsidP="00491FED">
      <w:pPr>
        <w:rPr>
          <w:rFonts w:ascii="Tahoma" w:eastAsia="Calibri" w:hAnsi="Tahoma" w:cs="Tahoma"/>
          <w:color w:val="0B0C0C"/>
          <w:sz w:val="22"/>
          <w:szCs w:val="22"/>
          <w:shd w:val="clear" w:color="auto" w:fill="FFFFFF"/>
        </w:rPr>
      </w:pPr>
    </w:p>
    <w:p w14:paraId="0122FFF0" w14:textId="77777777" w:rsidR="00491FED" w:rsidRPr="00093E45" w:rsidRDefault="00491FED" w:rsidP="00491FED">
      <w:pPr>
        <w:rPr>
          <w:rFonts w:ascii="Tahoma" w:eastAsia="Calibri" w:hAnsi="Tahoma" w:cs="Tahoma"/>
          <w:color w:val="0B0C0C"/>
          <w:sz w:val="22"/>
          <w:szCs w:val="22"/>
          <w:shd w:val="clear" w:color="auto" w:fill="FFFFFF"/>
        </w:rPr>
      </w:pPr>
      <w:r>
        <w:rPr>
          <w:rFonts w:ascii="Tahoma" w:eastAsia="Calibri" w:hAnsi="Tahoma" w:cs="Tahoma"/>
          <w:color w:val="0B0C0C"/>
          <w:sz w:val="22"/>
          <w:szCs w:val="22"/>
          <w:shd w:val="clear" w:color="auto" w:fill="FFFFFF"/>
        </w:rPr>
        <w:t>Where halls are used, t</w:t>
      </w:r>
      <w:r w:rsidRPr="00093E45">
        <w:rPr>
          <w:rFonts w:ascii="Tahoma" w:eastAsia="Calibri" w:hAnsi="Tahoma" w:cs="Tahoma"/>
          <w:color w:val="0B0C0C"/>
          <w:sz w:val="22"/>
          <w:szCs w:val="22"/>
          <w:shd w:val="clear" w:color="auto" w:fill="FFFFFF"/>
        </w:rPr>
        <w:t xml:space="preserve">he important 5 points of the COVID-19 secure guidelines set out in Section 2.1 of the ACRE Information Sheet should be in place and are not repeated here (social distancing, cleanliness, handwashing </w:t>
      </w:r>
      <w:proofErr w:type="spellStart"/>
      <w:r w:rsidRPr="00093E45">
        <w:rPr>
          <w:rFonts w:ascii="Tahoma" w:eastAsia="Calibri" w:hAnsi="Tahoma" w:cs="Tahoma"/>
          <w:color w:val="0B0C0C"/>
          <w:sz w:val="22"/>
          <w:szCs w:val="22"/>
          <w:shd w:val="clear" w:color="auto" w:fill="FFFFFF"/>
        </w:rPr>
        <w:t>etc</w:t>
      </w:r>
      <w:proofErr w:type="spellEnd"/>
      <w:r w:rsidRPr="00093E45">
        <w:rPr>
          <w:rFonts w:ascii="Tahoma" w:eastAsia="Calibri" w:hAnsi="Tahoma" w:cs="Tahoma"/>
          <w:color w:val="0B0C0C"/>
          <w:sz w:val="22"/>
          <w:szCs w:val="22"/>
          <w:shd w:val="clear" w:color="auto" w:fill="FFFFFF"/>
        </w:rPr>
        <w:t xml:space="preserve">). </w:t>
      </w:r>
      <w:r>
        <w:rPr>
          <w:rFonts w:ascii="Tahoma" w:eastAsia="Calibri" w:hAnsi="Tahoma" w:cs="Tahoma"/>
          <w:color w:val="0B0C0C"/>
          <w:sz w:val="22"/>
          <w:szCs w:val="22"/>
          <w:shd w:val="clear" w:color="auto" w:fill="FFFFFF"/>
        </w:rPr>
        <w:t xml:space="preserve"> </w:t>
      </w:r>
      <w:r w:rsidRPr="00093E45">
        <w:rPr>
          <w:rFonts w:ascii="Tahoma" w:eastAsia="Calibri" w:hAnsi="Tahoma" w:cs="Tahoma"/>
          <w:color w:val="0B0C0C"/>
          <w:sz w:val="22"/>
          <w:szCs w:val="22"/>
          <w:shd w:val="clear" w:color="auto" w:fill="FFFFFF"/>
        </w:rPr>
        <w:t xml:space="preserve">A village hall which has undertaken a COVID-19 risk assessment and is following the steps identified to </w:t>
      </w:r>
      <w:proofErr w:type="spellStart"/>
      <w:r w:rsidRPr="00093E45">
        <w:rPr>
          <w:rFonts w:ascii="Tahoma" w:eastAsia="Calibri" w:hAnsi="Tahoma" w:cs="Tahoma"/>
          <w:color w:val="0B0C0C"/>
          <w:sz w:val="22"/>
          <w:szCs w:val="22"/>
          <w:shd w:val="clear" w:color="auto" w:fill="FFFFFF"/>
        </w:rPr>
        <w:t>minimise</w:t>
      </w:r>
      <w:proofErr w:type="spellEnd"/>
      <w:r w:rsidRPr="00093E45">
        <w:rPr>
          <w:rFonts w:ascii="Tahoma" w:eastAsia="Calibri" w:hAnsi="Tahoma" w:cs="Tahoma"/>
          <w:color w:val="0B0C0C"/>
          <w:sz w:val="22"/>
          <w:szCs w:val="22"/>
          <w:shd w:val="clear" w:color="auto" w:fill="FFFFFF"/>
        </w:rPr>
        <w:t xml:space="preserve"> transmission should satisfy most points in the Government guidance for providers of grassroots sport and gym facilities, the full text of which is contained here:</w:t>
      </w:r>
    </w:p>
    <w:p w14:paraId="36C13C35" w14:textId="77777777" w:rsidR="00491FED" w:rsidRPr="00E9595F" w:rsidRDefault="00491FED" w:rsidP="00491FED">
      <w:pPr>
        <w:rPr>
          <w:rFonts w:ascii="Tahoma" w:eastAsia="Calibri" w:hAnsi="Tahoma" w:cs="Tahoma"/>
          <w:color w:val="0563C1"/>
          <w:sz w:val="22"/>
          <w:szCs w:val="22"/>
          <w:u w:val="single"/>
        </w:rPr>
      </w:pPr>
      <w:hyperlink r:id="rId5" w:history="1">
        <w:r w:rsidRPr="00093E45">
          <w:rPr>
            <w:rFonts w:ascii="Tahoma" w:eastAsia="Calibri" w:hAnsi="Tahoma" w:cs="Tahoma"/>
            <w:color w:val="0563C1"/>
            <w:sz w:val="22"/>
            <w:szCs w:val="22"/>
            <w:u w:val="single"/>
          </w:rPr>
          <w:t>https://www.gov.uk/guidance/working-safely-during-coronavirus-covid-19/providers-of-grassroots-sport-and-gym-leisure-facilities</w:t>
        </w:r>
      </w:hyperlink>
      <w:r>
        <w:rPr>
          <w:rFonts w:ascii="Tahoma" w:eastAsia="Calibri" w:hAnsi="Tahoma" w:cs="Tahoma"/>
          <w:color w:val="0563C1"/>
          <w:sz w:val="22"/>
          <w:szCs w:val="22"/>
          <w:u w:val="single"/>
        </w:rPr>
        <w:t>.</w:t>
      </w:r>
    </w:p>
    <w:p w14:paraId="2E2F8291" w14:textId="77777777" w:rsidR="00491FED" w:rsidRDefault="00491FED" w:rsidP="00491FED">
      <w:pPr>
        <w:rPr>
          <w:rFonts w:ascii="Tahoma" w:eastAsia="Calibri" w:hAnsi="Tahoma" w:cs="Tahoma"/>
          <w:b/>
          <w:bCs/>
          <w:color w:val="000000"/>
          <w:sz w:val="22"/>
          <w:szCs w:val="22"/>
        </w:rPr>
      </w:pPr>
    </w:p>
    <w:p w14:paraId="6FB0B44A" w14:textId="77777777" w:rsidR="00491FED" w:rsidRDefault="00491FED" w:rsidP="00491FED">
      <w:pPr>
        <w:rPr>
          <w:rFonts w:ascii="Tahoma" w:eastAsia="Calibri" w:hAnsi="Tahoma" w:cs="Tahoma"/>
          <w:color w:val="000000"/>
          <w:sz w:val="22"/>
          <w:szCs w:val="22"/>
        </w:rPr>
      </w:pPr>
      <w:r w:rsidRPr="00093E45">
        <w:rPr>
          <w:rFonts w:ascii="Tahoma" w:eastAsia="Calibri" w:hAnsi="Tahoma" w:cs="Tahoma"/>
          <w:b/>
          <w:bCs/>
          <w:color w:val="000000"/>
          <w:sz w:val="22"/>
          <w:szCs w:val="22"/>
        </w:rPr>
        <w:t>Organised</w:t>
      </w:r>
      <w:r w:rsidRPr="00093E45">
        <w:rPr>
          <w:rFonts w:ascii="Tahoma" w:eastAsia="Calibri" w:hAnsi="Tahoma" w:cs="Tahoma"/>
          <w:color w:val="000000"/>
          <w:sz w:val="22"/>
          <w:szCs w:val="22"/>
        </w:rPr>
        <w:t xml:space="preserve"> team sports can be played </w:t>
      </w:r>
      <w:r w:rsidRPr="002A5495">
        <w:rPr>
          <w:rFonts w:ascii="Tahoma" w:eastAsia="Calibri" w:hAnsi="Tahoma" w:cs="Tahoma"/>
          <w:b/>
          <w:bCs/>
          <w:color w:val="000000"/>
          <w:sz w:val="22"/>
          <w:szCs w:val="22"/>
        </w:rPr>
        <w:t>outdoors</w:t>
      </w:r>
      <w:r w:rsidRPr="00093E45">
        <w:rPr>
          <w:rFonts w:ascii="Tahoma" w:eastAsia="Calibri" w:hAnsi="Tahoma" w:cs="Tahoma"/>
          <w:color w:val="000000"/>
          <w:sz w:val="22"/>
          <w:szCs w:val="22"/>
        </w:rPr>
        <w:t>, including cricket</w:t>
      </w:r>
      <w:r>
        <w:rPr>
          <w:rFonts w:ascii="Tahoma" w:eastAsia="Calibri" w:hAnsi="Tahoma" w:cs="Tahoma"/>
          <w:color w:val="000000"/>
          <w:sz w:val="22"/>
          <w:szCs w:val="22"/>
        </w:rPr>
        <w:t>, at Step 1B (29</w:t>
      </w:r>
      <w:r w:rsidRPr="009B73B1">
        <w:rPr>
          <w:rFonts w:ascii="Tahoma" w:eastAsia="Calibri" w:hAnsi="Tahoma" w:cs="Tahoma"/>
          <w:color w:val="000000"/>
          <w:sz w:val="22"/>
          <w:szCs w:val="22"/>
          <w:vertAlign w:val="superscript"/>
        </w:rPr>
        <w:t>th</w:t>
      </w:r>
      <w:r>
        <w:rPr>
          <w:rFonts w:ascii="Tahoma" w:eastAsia="Calibri" w:hAnsi="Tahoma" w:cs="Tahoma"/>
          <w:color w:val="000000"/>
          <w:sz w:val="22"/>
          <w:szCs w:val="22"/>
        </w:rPr>
        <w:t xml:space="preserve"> March) without spectators (except </w:t>
      </w:r>
      <w:proofErr w:type="spellStart"/>
      <w:r>
        <w:rPr>
          <w:rFonts w:ascii="Tahoma" w:eastAsia="Calibri" w:hAnsi="Tahoma" w:cs="Tahoma"/>
          <w:color w:val="000000"/>
          <w:sz w:val="22"/>
          <w:szCs w:val="22"/>
        </w:rPr>
        <w:t>carers</w:t>
      </w:r>
      <w:proofErr w:type="spellEnd"/>
      <w:r>
        <w:rPr>
          <w:rFonts w:ascii="Tahoma" w:eastAsia="Calibri" w:hAnsi="Tahoma" w:cs="Tahoma"/>
          <w:color w:val="000000"/>
          <w:sz w:val="22"/>
          <w:szCs w:val="22"/>
        </w:rPr>
        <w:t xml:space="preserve"> of disabled children or supervisors). Personal training outdoors is also permitted at Step 1B.  At Step 2, spectators are limited to “rule of 6” groups. </w:t>
      </w:r>
    </w:p>
    <w:p w14:paraId="69015CE3" w14:textId="77777777" w:rsidR="00491FED" w:rsidRDefault="00491FED" w:rsidP="00491FED">
      <w:pPr>
        <w:rPr>
          <w:rFonts w:ascii="Tahoma" w:eastAsia="Calibri" w:hAnsi="Tahoma" w:cs="Tahoma"/>
          <w:color w:val="000000"/>
          <w:sz w:val="22"/>
          <w:szCs w:val="22"/>
        </w:rPr>
      </w:pPr>
    </w:p>
    <w:p w14:paraId="745560C8" w14:textId="77777777" w:rsidR="00491FED" w:rsidRDefault="00491FED" w:rsidP="00491FED">
      <w:pPr>
        <w:rPr>
          <w:rFonts w:ascii="Tahoma" w:eastAsia="Calibri" w:hAnsi="Tahoma" w:cs="Tahoma"/>
          <w:color w:val="000000"/>
          <w:sz w:val="22"/>
          <w:szCs w:val="22"/>
        </w:rPr>
      </w:pPr>
      <w:r w:rsidRPr="001A0936">
        <w:rPr>
          <w:rFonts w:ascii="Tahoma" w:eastAsia="Calibri" w:hAnsi="Tahoma" w:cs="Tahoma"/>
          <w:b/>
          <w:bCs/>
          <w:color w:val="000000"/>
          <w:sz w:val="22"/>
          <w:szCs w:val="22"/>
        </w:rPr>
        <w:t xml:space="preserve">Informal </w:t>
      </w:r>
      <w:r>
        <w:rPr>
          <w:rFonts w:ascii="Tahoma" w:eastAsia="Calibri" w:hAnsi="Tahoma" w:cs="Tahoma"/>
          <w:b/>
          <w:bCs/>
          <w:color w:val="000000"/>
          <w:sz w:val="22"/>
          <w:szCs w:val="22"/>
        </w:rPr>
        <w:t xml:space="preserve">or </w:t>
      </w:r>
      <w:r w:rsidRPr="001A0936">
        <w:rPr>
          <w:rFonts w:ascii="Tahoma" w:eastAsia="Calibri" w:hAnsi="Tahoma" w:cs="Tahoma"/>
          <w:b/>
          <w:bCs/>
          <w:color w:val="000000"/>
          <w:sz w:val="22"/>
          <w:szCs w:val="22"/>
        </w:rPr>
        <w:t>“kickabout” exercise</w:t>
      </w:r>
      <w:r>
        <w:rPr>
          <w:rFonts w:ascii="Tahoma" w:eastAsia="Calibri" w:hAnsi="Tahoma" w:cs="Tahoma"/>
          <w:color w:val="000000"/>
          <w:sz w:val="22"/>
          <w:szCs w:val="22"/>
        </w:rPr>
        <w:t>: Can only take place within “rule of 6” groups, from Step 1B until Step 3.</w:t>
      </w:r>
    </w:p>
    <w:p w14:paraId="0A6EBD37" w14:textId="77777777" w:rsidR="00491FED" w:rsidRDefault="00491FED" w:rsidP="00491FED">
      <w:pPr>
        <w:rPr>
          <w:rFonts w:ascii="Tahoma" w:eastAsia="Calibri" w:hAnsi="Tahoma" w:cs="Tahoma"/>
          <w:color w:val="000000"/>
          <w:sz w:val="22"/>
          <w:szCs w:val="22"/>
        </w:rPr>
      </w:pPr>
    </w:p>
    <w:p w14:paraId="555D9177" w14:textId="77777777" w:rsidR="00491FED" w:rsidRPr="00F64382" w:rsidRDefault="00491FED" w:rsidP="00491FED">
      <w:pPr>
        <w:rPr>
          <w:rFonts w:ascii="Tahoma" w:eastAsia="Calibri" w:hAnsi="Tahoma" w:cs="Tahoma"/>
          <w:color w:val="000000"/>
          <w:sz w:val="22"/>
          <w:szCs w:val="22"/>
        </w:rPr>
      </w:pPr>
      <w:r w:rsidRPr="00B024F5">
        <w:rPr>
          <w:rFonts w:ascii="Tahoma" w:eastAsia="Calibri" w:hAnsi="Tahoma" w:cs="Tahoma"/>
          <w:b/>
          <w:bCs/>
          <w:color w:val="000000"/>
          <w:sz w:val="22"/>
          <w:szCs w:val="22"/>
        </w:rPr>
        <w:t>Organised Sports Participation Events (</w:t>
      </w:r>
      <w:proofErr w:type="spellStart"/>
      <w:r>
        <w:rPr>
          <w:rFonts w:ascii="Tahoma" w:eastAsia="Calibri" w:hAnsi="Tahoma" w:cs="Tahoma"/>
          <w:b/>
          <w:bCs/>
          <w:color w:val="000000"/>
          <w:sz w:val="22"/>
          <w:szCs w:val="22"/>
        </w:rPr>
        <w:t>eg</w:t>
      </w:r>
      <w:proofErr w:type="spellEnd"/>
      <w:r w:rsidRPr="00B024F5">
        <w:rPr>
          <w:rFonts w:ascii="Tahoma" w:eastAsia="Calibri" w:hAnsi="Tahoma" w:cs="Tahoma"/>
          <w:b/>
          <w:bCs/>
          <w:color w:val="000000"/>
          <w:sz w:val="22"/>
          <w:szCs w:val="22"/>
        </w:rPr>
        <w:t xml:space="preserve"> </w:t>
      </w:r>
      <w:r>
        <w:rPr>
          <w:rFonts w:ascii="Tahoma" w:eastAsia="Calibri" w:hAnsi="Tahoma" w:cs="Tahoma"/>
          <w:b/>
          <w:bCs/>
          <w:color w:val="000000"/>
          <w:sz w:val="22"/>
          <w:szCs w:val="22"/>
        </w:rPr>
        <w:t xml:space="preserve">races, </w:t>
      </w:r>
      <w:r w:rsidRPr="00B024F5">
        <w:rPr>
          <w:rFonts w:ascii="Tahoma" w:eastAsia="Calibri" w:hAnsi="Tahoma" w:cs="Tahoma"/>
          <w:b/>
          <w:bCs/>
          <w:color w:val="000000"/>
          <w:sz w:val="22"/>
          <w:szCs w:val="22"/>
        </w:rPr>
        <w:t>walks):</w:t>
      </w:r>
      <w:r>
        <w:rPr>
          <w:rFonts w:ascii="Tahoma" w:eastAsia="Calibri" w:hAnsi="Tahoma" w:cs="Tahoma"/>
          <w:b/>
          <w:bCs/>
          <w:color w:val="000000"/>
          <w:sz w:val="22"/>
          <w:szCs w:val="22"/>
        </w:rPr>
        <w:t xml:space="preserve"> </w:t>
      </w:r>
      <w:r>
        <w:rPr>
          <w:rFonts w:ascii="Tahoma" w:eastAsia="Calibri" w:hAnsi="Tahoma" w:cs="Tahoma"/>
          <w:color w:val="000000"/>
          <w:sz w:val="22"/>
          <w:szCs w:val="22"/>
        </w:rPr>
        <w:t xml:space="preserve">These can take place from Step 1B, subject to compliance with the guidance: </w:t>
      </w:r>
      <w:hyperlink r:id="rId6" w:anchor="organisedsportparticipationevents" w:history="1">
        <w:r>
          <w:rPr>
            <w:rStyle w:val="Hyperlink"/>
          </w:rPr>
          <w:t>Coronavirus (COVID-19): grassroots sports guidance for safe provision including team sport, contact combat sport and organised sport events - GOV.UK (www.gov.uk)</w:t>
        </w:r>
      </w:hyperlink>
      <w:r>
        <w:t>.</w:t>
      </w:r>
    </w:p>
    <w:p w14:paraId="01A25BB3" w14:textId="77777777" w:rsidR="00491FED" w:rsidRPr="00093E45" w:rsidRDefault="00491FED" w:rsidP="00491FED">
      <w:pPr>
        <w:rPr>
          <w:rFonts w:ascii="Tahoma" w:eastAsia="Calibri" w:hAnsi="Tahoma" w:cs="Tahoma"/>
          <w:color w:val="000000"/>
          <w:sz w:val="22"/>
          <w:szCs w:val="22"/>
        </w:rPr>
      </w:pPr>
    </w:p>
    <w:p w14:paraId="4CA490DB" w14:textId="77777777" w:rsidR="00491FED" w:rsidRDefault="00491FED" w:rsidP="00491FED">
      <w:pPr>
        <w:rPr>
          <w:rFonts w:ascii="Tahoma" w:eastAsia="Calibri" w:hAnsi="Tahoma" w:cs="Tahoma"/>
          <w:color w:val="000000"/>
          <w:sz w:val="22"/>
          <w:szCs w:val="22"/>
        </w:rPr>
      </w:pPr>
      <w:r w:rsidRPr="00093E45">
        <w:rPr>
          <w:rFonts w:ascii="Tahoma" w:eastAsia="Calibri" w:hAnsi="Tahoma" w:cs="Tahoma"/>
          <w:b/>
          <w:bCs/>
          <w:color w:val="000000"/>
          <w:sz w:val="22"/>
          <w:szCs w:val="22"/>
        </w:rPr>
        <w:t>Indoor</w:t>
      </w:r>
      <w:r w:rsidRPr="00093E45">
        <w:rPr>
          <w:rFonts w:ascii="Tahoma" w:eastAsia="Calibri" w:hAnsi="Tahoma" w:cs="Tahoma"/>
          <w:color w:val="000000"/>
          <w:sz w:val="22"/>
          <w:szCs w:val="22"/>
        </w:rPr>
        <w:t xml:space="preserve"> gyms, fitness and dance studios, indoor sports facilities are able to open</w:t>
      </w:r>
      <w:r>
        <w:rPr>
          <w:rFonts w:ascii="Tahoma" w:eastAsia="Calibri" w:hAnsi="Tahoma" w:cs="Tahoma"/>
          <w:color w:val="000000"/>
          <w:sz w:val="22"/>
          <w:szCs w:val="22"/>
        </w:rPr>
        <w:t xml:space="preserve"> from Step 2</w:t>
      </w:r>
      <w:r w:rsidRPr="00093E45">
        <w:rPr>
          <w:rFonts w:ascii="Tahoma" w:eastAsia="Calibri" w:hAnsi="Tahoma" w:cs="Tahoma"/>
          <w:color w:val="000000"/>
          <w:sz w:val="22"/>
          <w:szCs w:val="22"/>
        </w:rPr>
        <w:t>,</w:t>
      </w:r>
      <w:r>
        <w:rPr>
          <w:rFonts w:ascii="Tahoma" w:eastAsia="Calibri" w:hAnsi="Tahoma" w:cs="Tahoma"/>
          <w:color w:val="000000"/>
          <w:sz w:val="22"/>
          <w:szCs w:val="22"/>
        </w:rPr>
        <w:t xml:space="preserve"> but only for single household use and 1:1 training, </w:t>
      </w:r>
      <w:proofErr w:type="gramStart"/>
      <w:r>
        <w:rPr>
          <w:rFonts w:ascii="Tahoma" w:eastAsia="Calibri" w:hAnsi="Tahoma" w:cs="Tahoma"/>
          <w:color w:val="000000"/>
          <w:sz w:val="22"/>
          <w:szCs w:val="22"/>
        </w:rPr>
        <w:t>other</w:t>
      </w:r>
      <w:proofErr w:type="gramEnd"/>
      <w:r>
        <w:rPr>
          <w:rFonts w:ascii="Tahoma" w:eastAsia="Calibri" w:hAnsi="Tahoma" w:cs="Tahoma"/>
          <w:color w:val="000000"/>
          <w:sz w:val="22"/>
          <w:szCs w:val="22"/>
        </w:rPr>
        <w:t xml:space="preserve"> group activity cannot take place until Step 3. </w:t>
      </w:r>
      <w:proofErr w:type="gramStart"/>
      <w:r>
        <w:rPr>
          <w:rFonts w:ascii="Tahoma" w:eastAsia="Calibri" w:hAnsi="Tahoma" w:cs="Tahoma"/>
          <w:color w:val="000000"/>
          <w:sz w:val="22"/>
          <w:szCs w:val="22"/>
        </w:rPr>
        <w:t>Therefore</w:t>
      </w:r>
      <w:proofErr w:type="gramEnd"/>
      <w:r>
        <w:rPr>
          <w:rFonts w:ascii="Tahoma" w:eastAsia="Calibri" w:hAnsi="Tahoma" w:cs="Tahoma"/>
          <w:color w:val="000000"/>
          <w:sz w:val="22"/>
          <w:szCs w:val="22"/>
        </w:rPr>
        <w:t xml:space="preserve"> y</w:t>
      </w:r>
      <w:r w:rsidRPr="00093E45">
        <w:rPr>
          <w:rFonts w:ascii="Tahoma" w:eastAsia="Calibri" w:hAnsi="Tahoma" w:cs="Tahoma"/>
          <w:color w:val="000000"/>
          <w:sz w:val="22"/>
          <w:szCs w:val="22"/>
        </w:rPr>
        <w:t xml:space="preserve">oga and </w:t>
      </w:r>
      <w:proofErr w:type="spellStart"/>
      <w:r>
        <w:rPr>
          <w:rFonts w:ascii="Tahoma" w:eastAsia="Calibri" w:hAnsi="Tahoma" w:cs="Tahoma"/>
          <w:color w:val="000000"/>
          <w:sz w:val="22"/>
          <w:szCs w:val="22"/>
        </w:rPr>
        <w:t>p</w:t>
      </w:r>
      <w:r w:rsidRPr="00093E45">
        <w:rPr>
          <w:rFonts w:ascii="Tahoma" w:eastAsia="Calibri" w:hAnsi="Tahoma" w:cs="Tahoma"/>
          <w:color w:val="000000"/>
          <w:sz w:val="22"/>
          <w:szCs w:val="22"/>
        </w:rPr>
        <w:t>ilates</w:t>
      </w:r>
      <w:proofErr w:type="spellEnd"/>
      <w:r w:rsidRPr="00093E45">
        <w:rPr>
          <w:rFonts w:ascii="Tahoma" w:eastAsia="Calibri" w:hAnsi="Tahoma" w:cs="Tahoma"/>
          <w:color w:val="000000"/>
          <w:sz w:val="22"/>
          <w:szCs w:val="22"/>
        </w:rPr>
        <w:t xml:space="preserve">, dance classes, badminton, table tennis, indoor bowls </w:t>
      </w:r>
      <w:proofErr w:type="spellStart"/>
      <w:r w:rsidRPr="00093E45">
        <w:rPr>
          <w:rFonts w:ascii="Tahoma" w:eastAsia="Calibri" w:hAnsi="Tahoma" w:cs="Tahoma"/>
          <w:color w:val="000000"/>
          <w:sz w:val="22"/>
          <w:szCs w:val="22"/>
        </w:rPr>
        <w:t>etc</w:t>
      </w:r>
      <w:proofErr w:type="spellEnd"/>
      <w:r w:rsidRPr="00093E45">
        <w:rPr>
          <w:rFonts w:ascii="Tahoma" w:eastAsia="Calibri" w:hAnsi="Tahoma" w:cs="Tahoma"/>
          <w:color w:val="000000"/>
          <w:sz w:val="22"/>
          <w:szCs w:val="22"/>
        </w:rPr>
        <w:t xml:space="preserve"> can </w:t>
      </w:r>
      <w:r>
        <w:rPr>
          <w:rFonts w:ascii="Tahoma" w:eastAsia="Calibri" w:hAnsi="Tahoma" w:cs="Tahoma"/>
          <w:color w:val="000000"/>
          <w:sz w:val="22"/>
          <w:szCs w:val="22"/>
        </w:rPr>
        <w:t xml:space="preserve">only </w:t>
      </w:r>
      <w:r w:rsidRPr="00093E45">
        <w:rPr>
          <w:rFonts w:ascii="Tahoma" w:eastAsia="Calibri" w:hAnsi="Tahoma" w:cs="Tahoma"/>
          <w:color w:val="000000"/>
          <w:sz w:val="22"/>
          <w:szCs w:val="22"/>
        </w:rPr>
        <w:t xml:space="preserve">be held </w:t>
      </w:r>
      <w:r>
        <w:rPr>
          <w:rFonts w:ascii="Tahoma" w:eastAsia="Calibri" w:hAnsi="Tahoma" w:cs="Tahoma"/>
          <w:color w:val="000000"/>
          <w:sz w:val="22"/>
          <w:szCs w:val="22"/>
        </w:rPr>
        <w:t xml:space="preserve">as group activities </w:t>
      </w:r>
      <w:r w:rsidRPr="00093E45">
        <w:rPr>
          <w:rFonts w:ascii="Tahoma" w:eastAsia="Calibri" w:hAnsi="Tahoma" w:cs="Tahoma"/>
          <w:color w:val="000000"/>
          <w:sz w:val="22"/>
          <w:szCs w:val="22"/>
        </w:rPr>
        <w:t>in village and community halls</w:t>
      </w:r>
      <w:r>
        <w:rPr>
          <w:rFonts w:ascii="Tahoma" w:eastAsia="Calibri" w:hAnsi="Tahoma" w:cs="Tahoma"/>
          <w:color w:val="000000"/>
          <w:sz w:val="22"/>
          <w:szCs w:val="22"/>
        </w:rPr>
        <w:t xml:space="preserve"> from Step 3, or as single household activities or for 1:1 training</w:t>
      </w:r>
      <w:r w:rsidRPr="00093E45">
        <w:rPr>
          <w:rFonts w:ascii="Tahoma" w:eastAsia="Calibri" w:hAnsi="Tahoma" w:cs="Tahoma"/>
          <w:color w:val="000000"/>
          <w:sz w:val="22"/>
          <w:szCs w:val="22"/>
        </w:rPr>
        <w:t xml:space="preserve">. </w:t>
      </w:r>
      <w:r>
        <w:rPr>
          <w:rFonts w:ascii="Tahoma" w:eastAsia="Calibri" w:hAnsi="Tahoma" w:cs="Tahoma"/>
          <w:color w:val="000000"/>
          <w:sz w:val="22"/>
          <w:szCs w:val="22"/>
        </w:rPr>
        <w:t xml:space="preserve">Exemptions for elite sportsmen and sportswomen, organized sport for people with disabilities, </w:t>
      </w:r>
      <w:proofErr w:type="gramStart"/>
      <w:r>
        <w:rPr>
          <w:rFonts w:ascii="Tahoma" w:eastAsia="Calibri" w:hAnsi="Tahoma" w:cs="Tahoma"/>
          <w:color w:val="000000"/>
          <w:sz w:val="22"/>
          <w:szCs w:val="22"/>
        </w:rPr>
        <w:t>education</w:t>
      </w:r>
      <w:proofErr w:type="gramEnd"/>
      <w:r>
        <w:rPr>
          <w:rFonts w:ascii="Tahoma" w:eastAsia="Calibri" w:hAnsi="Tahoma" w:cs="Tahoma"/>
          <w:color w:val="000000"/>
          <w:sz w:val="22"/>
          <w:szCs w:val="22"/>
        </w:rPr>
        <w:t xml:space="preserve"> and supervised activities for under – 18s already apply.  </w:t>
      </w:r>
    </w:p>
    <w:p w14:paraId="60560F8E" w14:textId="77777777" w:rsidR="00491FED" w:rsidRDefault="00491FED" w:rsidP="00491FED">
      <w:pPr>
        <w:rPr>
          <w:rFonts w:ascii="Tahoma" w:eastAsia="Calibri" w:hAnsi="Tahoma" w:cs="Tahoma"/>
          <w:color w:val="000000"/>
          <w:sz w:val="22"/>
          <w:szCs w:val="22"/>
        </w:rPr>
      </w:pPr>
    </w:p>
    <w:p w14:paraId="609F9266" w14:textId="77777777" w:rsidR="00491FED" w:rsidRPr="00093E45" w:rsidRDefault="00491FED" w:rsidP="00491FED">
      <w:pPr>
        <w:rPr>
          <w:rFonts w:ascii="Tahoma" w:eastAsia="Calibri" w:hAnsi="Tahoma" w:cs="Tahoma"/>
          <w:color w:val="000000"/>
          <w:sz w:val="22"/>
          <w:szCs w:val="22"/>
        </w:rPr>
      </w:pPr>
      <w:r w:rsidRPr="00202313">
        <w:rPr>
          <w:rFonts w:ascii="Tahoma" w:eastAsia="Calibri" w:hAnsi="Tahoma" w:cs="Tahoma"/>
          <w:b/>
          <w:bCs/>
          <w:color w:val="000000"/>
          <w:sz w:val="22"/>
          <w:szCs w:val="22"/>
        </w:rPr>
        <w:t>Combat sports</w:t>
      </w:r>
      <w:r>
        <w:rPr>
          <w:rFonts w:ascii="Tahoma" w:eastAsia="Calibri" w:hAnsi="Tahoma" w:cs="Tahoma"/>
          <w:color w:val="000000"/>
          <w:sz w:val="22"/>
          <w:szCs w:val="22"/>
        </w:rPr>
        <w:t xml:space="preserve">: Combat sports, including martial arts, are subject to phased introduction which permits children to take part in contact training indoors in “training bubbles” of up to 15 at Step 1B, and adults to take part in small “training bubbles” with 100 sq ft per person at Step 2 once the guidance for the sport has been approved.  </w:t>
      </w:r>
      <w:hyperlink r:id="rId7" w:anchor="organisedsportparticipationevents" w:history="1">
        <w:r>
          <w:rPr>
            <w:rStyle w:val="Hyperlink"/>
          </w:rPr>
          <w:t>Coronavirus (COVID-19): grassroots sports guidance for safe provision including team sport, contact combat sport and organised sport events - GOV.UK (www.gov.uk)</w:t>
        </w:r>
      </w:hyperlink>
    </w:p>
    <w:p w14:paraId="64C04EC2" w14:textId="77777777" w:rsidR="00491FED" w:rsidRPr="00093E45" w:rsidRDefault="00491FED" w:rsidP="00491FED">
      <w:pPr>
        <w:rPr>
          <w:rFonts w:ascii="Tahoma" w:eastAsia="Calibri" w:hAnsi="Tahoma" w:cs="Tahoma"/>
          <w:color w:val="000000"/>
          <w:sz w:val="22"/>
          <w:szCs w:val="22"/>
        </w:rPr>
      </w:pPr>
    </w:p>
    <w:p w14:paraId="409A6469" w14:textId="77777777" w:rsidR="00491FED" w:rsidRPr="00093E45" w:rsidRDefault="00491FED" w:rsidP="00491FED">
      <w:pPr>
        <w:rPr>
          <w:rFonts w:ascii="Tahoma" w:eastAsia="Calibri" w:hAnsi="Tahoma" w:cs="Tahoma"/>
          <w:color w:val="000000"/>
          <w:sz w:val="22"/>
          <w:szCs w:val="22"/>
        </w:rPr>
      </w:pPr>
      <w:r w:rsidRPr="00093E45">
        <w:rPr>
          <w:rFonts w:ascii="Tahoma" w:eastAsia="Calibri" w:hAnsi="Tahoma" w:cs="Tahoma"/>
          <w:b/>
          <w:bCs/>
          <w:color w:val="000000"/>
          <w:sz w:val="22"/>
          <w:szCs w:val="22"/>
        </w:rPr>
        <w:lastRenderedPageBreak/>
        <w:t xml:space="preserve">Key Points: </w:t>
      </w:r>
    </w:p>
    <w:p w14:paraId="7E0AD440" w14:textId="77777777" w:rsidR="00491FED" w:rsidRPr="00AC143B" w:rsidRDefault="00491FED" w:rsidP="00491FED">
      <w:pPr>
        <w:numPr>
          <w:ilvl w:val="0"/>
          <w:numId w:val="1"/>
        </w:numPr>
        <w:rPr>
          <w:rFonts w:ascii="Tahoma" w:eastAsia="Calibri" w:hAnsi="Tahoma" w:cs="Tahoma"/>
          <w:color w:val="000000"/>
          <w:sz w:val="22"/>
          <w:szCs w:val="22"/>
        </w:rPr>
      </w:pPr>
      <w:r w:rsidRPr="00AC143B">
        <w:rPr>
          <w:rFonts w:ascii="Tahoma" w:eastAsia="Calibri" w:hAnsi="Tahoma" w:cs="Tahoma"/>
          <w:b/>
          <w:bCs/>
          <w:color w:val="000000"/>
          <w:sz w:val="22"/>
          <w:szCs w:val="22"/>
        </w:rPr>
        <w:t>Social interaction before and after sport</w:t>
      </w:r>
      <w:r>
        <w:rPr>
          <w:rFonts w:ascii="Tahoma" w:eastAsia="Calibri" w:hAnsi="Tahoma" w:cs="Tahoma"/>
          <w:color w:val="000000"/>
          <w:sz w:val="22"/>
          <w:szCs w:val="22"/>
        </w:rPr>
        <w:t>: This should be extremely limited in line with the gathering limits for rule of 6 or 2 household groups.</w:t>
      </w:r>
    </w:p>
    <w:p w14:paraId="007D9FBA"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Changing facilities</w:t>
      </w:r>
      <w:r w:rsidRPr="00093E45">
        <w:rPr>
          <w:rFonts w:ascii="Tahoma" w:eastAsia="Calibri" w:hAnsi="Tahoma" w:cs="Tahoma"/>
          <w:color w:val="000000"/>
          <w:sz w:val="22"/>
          <w:szCs w:val="22"/>
        </w:rPr>
        <w:t xml:space="preserve">: </w:t>
      </w:r>
      <w:r>
        <w:rPr>
          <w:rFonts w:ascii="Tahoma" w:eastAsia="Calibri" w:hAnsi="Tahoma" w:cs="Tahoma"/>
          <w:color w:val="000000"/>
          <w:sz w:val="22"/>
          <w:szCs w:val="22"/>
        </w:rPr>
        <w:t>Until Step 3 these can only be accessed for use of toilets, first aid purposes</w:t>
      </w:r>
      <w:proofErr w:type="gramStart"/>
      <w:r>
        <w:rPr>
          <w:rFonts w:ascii="Tahoma" w:eastAsia="Calibri" w:hAnsi="Tahoma" w:cs="Tahoma"/>
          <w:color w:val="000000"/>
          <w:sz w:val="22"/>
          <w:szCs w:val="22"/>
        </w:rPr>
        <w:t>. .</w:t>
      </w:r>
      <w:proofErr w:type="gramEnd"/>
      <w:r>
        <w:rPr>
          <w:rFonts w:ascii="Tahoma" w:eastAsia="Calibri" w:hAnsi="Tahoma" w:cs="Tahoma"/>
          <w:color w:val="000000"/>
          <w:sz w:val="22"/>
          <w:szCs w:val="22"/>
        </w:rPr>
        <w:t xml:space="preserve"> </w:t>
      </w:r>
      <w:r w:rsidRPr="00093E45">
        <w:rPr>
          <w:rFonts w:ascii="Tahoma" w:eastAsia="Calibri" w:hAnsi="Tahoma" w:cs="Tahoma"/>
          <w:color w:val="000000"/>
          <w:sz w:val="22"/>
          <w:szCs w:val="22"/>
        </w:rPr>
        <w:t>People should be encouraged to arrive ready changed and, where possible, travel home to change/shower</w:t>
      </w:r>
      <w:r>
        <w:rPr>
          <w:rFonts w:ascii="Tahoma" w:eastAsia="Calibri" w:hAnsi="Tahoma" w:cs="Tahoma"/>
          <w:color w:val="000000"/>
          <w:sz w:val="22"/>
          <w:szCs w:val="22"/>
        </w:rPr>
        <w:t xml:space="preserve"> (there is an exemption for disabled players)</w:t>
      </w:r>
      <w:r w:rsidRPr="00093E45">
        <w:rPr>
          <w:rFonts w:ascii="Tahoma" w:eastAsia="Calibri" w:hAnsi="Tahoma" w:cs="Tahoma"/>
          <w:color w:val="000000"/>
          <w:sz w:val="22"/>
          <w:szCs w:val="22"/>
        </w:rPr>
        <w:t>.</w:t>
      </w:r>
      <w:r>
        <w:rPr>
          <w:rFonts w:ascii="Tahoma" w:eastAsia="Calibri" w:hAnsi="Tahoma" w:cs="Tahoma"/>
          <w:color w:val="000000"/>
          <w:sz w:val="22"/>
          <w:szCs w:val="22"/>
        </w:rPr>
        <w:t xml:space="preserve"> </w:t>
      </w:r>
      <w:r w:rsidRPr="00093E45">
        <w:rPr>
          <w:rFonts w:ascii="Tahoma" w:eastAsia="Calibri" w:hAnsi="Tahoma" w:cs="Tahoma"/>
          <w:color w:val="000000"/>
          <w:sz w:val="22"/>
          <w:szCs w:val="22"/>
        </w:rPr>
        <w:t xml:space="preserve"> If needed, use of any changing rooms should be managed in a similar way as for toilets. </w:t>
      </w:r>
    </w:p>
    <w:p w14:paraId="6E655B70" w14:textId="77777777" w:rsidR="00491FED"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Payments</w:t>
      </w:r>
      <w:r w:rsidRPr="00093E45">
        <w:rPr>
          <w:rFonts w:ascii="Tahoma" w:eastAsia="Calibri" w:hAnsi="Tahoma" w:cs="Tahoma"/>
          <w:color w:val="000000"/>
          <w:sz w:val="22"/>
          <w:szCs w:val="22"/>
        </w:rPr>
        <w:t xml:space="preserve">: Cash transactions should be avoided – online payments and booking used where possible to manage demand.  </w:t>
      </w:r>
    </w:p>
    <w:p w14:paraId="4171D2B9"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Capacity figures</w:t>
      </w:r>
      <w:r w:rsidRPr="00093E45">
        <w:rPr>
          <w:rFonts w:ascii="Tahoma" w:eastAsia="Calibri" w:hAnsi="Tahoma" w:cs="Tahoma"/>
          <w:color w:val="000000"/>
          <w:sz w:val="22"/>
          <w:szCs w:val="22"/>
        </w:rPr>
        <w:t xml:space="preserve"> </w:t>
      </w:r>
      <w:r w:rsidRPr="00093E45">
        <w:rPr>
          <w:rFonts w:ascii="Tahoma" w:eastAsia="Calibri" w:hAnsi="Tahoma" w:cs="Tahoma"/>
          <w:b/>
          <w:bCs/>
          <w:color w:val="000000"/>
          <w:sz w:val="22"/>
          <w:szCs w:val="22"/>
        </w:rPr>
        <w:t>and ventilation</w:t>
      </w:r>
      <w:r w:rsidRPr="00093E45">
        <w:rPr>
          <w:rFonts w:ascii="Tahoma" w:eastAsia="Calibri" w:hAnsi="Tahoma" w:cs="Tahoma"/>
          <w:color w:val="000000"/>
          <w:sz w:val="22"/>
          <w:szCs w:val="22"/>
        </w:rPr>
        <w:t xml:space="preserve"> may need attention by some hirers: Doors should be fixed open where possible for ventilation (except fire doors), use of outdoor space encouraged where possible. Capacity may be reduced below that already reached for social distancing where high intensity exercise activity takes place, activity is not static, equipment is involved, or an instructor needs to move between groups of socially distanced people. For high intensity exercise (</w:t>
      </w:r>
      <w:proofErr w:type="gramStart"/>
      <w:r w:rsidRPr="00093E45">
        <w:rPr>
          <w:rFonts w:ascii="Tahoma" w:eastAsia="Calibri" w:hAnsi="Tahoma" w:cs="Tahoma"/>
          <w:color w:val="000000"/>
          <w:sz w:val="22"/>
          <w:szCs w:val="22"/>
        </w:rPr>
        <w:t>e.g.</w:t>
      </w:r>
      <w:proofErr w:type="gramEnd"/>
      <w:r w:rsidRPr="00093E45">
        <w:rPr>
          <w:rFonts w:ascii="Tahoma" w:eastAsia="Calibri" w:hAnsi="Tahoma" w:cs="Tahoma"/>
          <w:color w:val="000000"/>
          <w:sz w:val="22"/>
          <w:szCs w:val="22"/>
        </w:rPr>
        <w:t xml:space="preserve"> Zumba) 100% fresh air is required, air should not be recirculated from one space to another, and the capacity of 100 sq. ft (9.29 sq. m) net indoor facility space available per person (including changing rooms, toilets, entrance </w:t>
      </w:r>
      <w:proofErr w:type="spellStart"/>
      <w:r w:rsidRPr="00093E45">
        <w:rPr>
          <w:rFonts w:ascii="Tahoma" w:eastAsia="Calibri" w:hAnsi="Tahoma" w:cs="Tahoma"/>
          <w:color w:val="000000"/>
          <w:sz w:val="22"/>
          <w:szCs w:val="22"/>
        </w:rPr>
        <w:t>etc</w:t>
      </w:r>
      <w:proofErr w:type="spellEnd"/>
      <w:r w:rsidRPr="00093E45">
        <w:rPr>
          <w:rFonts w:ascii="Tahoma" w:eastAsia="Calibri" w:hAnsi="Tahoma" w:cs="Tahoma"/>
          <w:color w:val="000000"/>
          <w:sz w:val="22"/>
          <w:szCs w:val="22"/>
        </w:rPr>
        <w:t xml:space="preserve">) should be used (section 5 of the guidance). </w:t>
      </w:r>
    </w:p>
    <w:p w14:paraId="46ADCBF6"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Dance and exercise:</w:t>
      </w:r>
      <w:r w:rsidRPr="00093E45">
        <w:rPr>
          <w:rFonts w:ascii="Tahoma" w:eastAsia="Calibri" w:hAnsi="Tahoma" w:cs="Tahoma"/>
          <w:color w:val="000000"/>
          <w:sz w:val="22"/>
          <w:szCs w:val="22"/>
        </w:rPr>
        <w:t xml:space="preserve"> Temporary floor markings are encouraged to define spacing per individual (</w:t>
      </w:r>
      <w:proofErr w:type="gramStart"/>
      <w:r w:rsidRPr="00093E45">
        <w:rPr>
          <w:rFonts w:ascii="Tahoma" w:eastAsia="Calibri" w:hAnsi="Tahoma" w:cs="Tahoma"/>
          <w:color w:val="000000"/>
          <w:sz w:val="22"/>
          <w:szCs w:val="22"/>
        </w:rPr>
        <w:t>e.g.</w:t>
      </w:r>
      <w:proofErr w:type="gramEnd"/>
      <w:r w:rsidRPr="00093E45">
        <w:rPr>
          <w:rFonts w:ascii="Tahoma" w:eastAsia="Calibri" w:hAnsi="Tahoma" w:cs="Tahoma"/>
          <w:color w:val="000000"/>
          <w:sz w:val="22"/>
          <w:szCs w:val="22"/>
        </w:rPr>
        <w:t xml:space="preserve"> chalk) </w:t>
      </w:r>
    </w:p>
    <w:p w14:paraId="14768485"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 xml:space="preserve">Equipment: </w:t>
      </w:r>
      <w:r w:rsidRPr="00093E45">
        <w:rPr>
          <w:rFonts w:ascii="Tahoma" w:eastAsia="Calibri" w:hAnsi="Tahoma" w:cs="Tahoma"/>
          <w:color w:val="000000"/>
          <w:sz w:val="22"/>
          <w:szCs w:val="22"/>
        </w:rPr>
        <w:t xml:space="preserve">People should avoid use of shared objects unless they can be cleaned between users, should bring their own equipment such as mats as far as possible and their own water bottles. </w:t>
      </w:r>
    </w:p>
    <w:p w14:paraId="21C6A83A"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 xml:space="preserve">Social distancing: </w:t>
      </w:r>
      <w:r w:rsidRPr="00093E45">
        <w:rPr>
          <w:rFonts w:ascii="Tahoma" w:eastAsia="Calibri" w:hAnsi="Tahoma" w:cs="Tahoma"/>
          <w:color w:val="000000"/>
          <w:sz w:val="22"/>
          <w:szCs w:val="22"/>
        </w:rPr>
        <w:t xml:space="preserve">The usual social distancing requirements </w:t>
      </w:r>
      <w:r>
        <w:rPr>
          <w:rFonts w:ascii="Tahoma" w:eastAsia="Calibri" w:hAnsi="Tahoma" w:cs="Tahoma"/>
          <w:color w:val="000000"/>
          <w:sz w:val="22"/>
          <w:szCs w:val="22"/>
        </w:rPr>
        <w:t xml:space="preserve">for the tier </w:t>
      </w:r>
      <w:r w:rsidRPr="00093E45">
        <w:rPr>
          <w:rFonts w:ascii="Tahoma" w:eastAsia="Calibri" w:hAnsi="Tahoma" w:cs="Tahoma"/>
          <w:color w:val="000000"/>
          <w:sz w:val="22"/>
          <w:szCs w:val="22"/>
        </w:rPr>
        <w:t xml:space="preserve">between individuals from different households </w:t>
      </w:r>
      <w:r>
        <w:rPr>
          <w:rFonts w:ascii="Tahoma" w:eastAsia="Calibri" w:hAnsi="Tahoma" w:cs="Tahoma"/>
          <w:color w:val="000000"/>
          <w:sz w:val="22"/>
          <w:szCs w:val="22"/>
        </w:rPr>
        <w:t>apply. Wh</w:t>
      </w:r>
      <w:r w:rsidRPr="00093E45">
        <w:rPr>
          <w:rFonts w:ascii="Tahoma" w:eastAsia="Calibri" w:hAnsi="Tahoma" w:cs="Tahoma"/>
          <w:color w:val="000000"/>
          <w:sz w:val="22"/>
          <w:szCs w:val="22"/>
        </w:rPr>
        <w:t xml:space="preserve">ere needed, the number of people each person has contact with should be reduced by using “fixed teams or partnering” or creating distinct groups which always work together. </w:t>
      </w:r>
    </w:p>
    <w:p w14:paraId="5D307E9A"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Parents and spectators</w:t>
      </w:r>
      <w:r w:rsidRPr="00093E45">
        <w:rPr>
          <w:rFonts w:ascii="Tahoma" w:eastAsia="Calibri" w:hAnsi="Tahoma" w:cs="Tahoma"/>
          <w:color w:val="000000"/>
          <w:sz w:val="22"/>
          <w:szCs w:val="22"/>
        </w:rPr>
        <w:t xml:space="preserve">: Social distancing among spectators such as waiting children or parent chaperones will need to be managed, </w:t>
      </w:r>
      <w:proofErr w:type="gramStart"/>
      <w:r w:rsidRPr="00093E45">
        <w:rPr>
          <w:rFonts w:ascii="Tahoma" w:eastAsia="Calibri" w:hAnsi="Tahoma" w:cs="Tahoma"/>
          <w:color w:val="000000"/>
          <w:sz w:val="22"/>
          <w:szCs w:val="22"/>
        </w:rPr>
        <w:t>e.g.</w:t>
      </w:r>
      <w:proofErr w:type="gramEnd"/>
      <w:r w:rsidRPr="00093E45">
        <w:rPr>
          <w:rFonts w:ascii="Tahoma" w:eastAsia="Calibri" w:hAnsi="Tahoma" w:cs="Tahoma"/>
          <w:color w:val="000000"/>
          <w:sz w:val="22"/>
          <w:szCs w:val="22"/>
        </w:rPr>
        <w:t xml:space="preserve"> waiting in the entrance hall, car park, or car. Outdoors, spectators should be in groups of 6 or </w:t>
      </w:r>
      <w:r>
        <w:rPr>
          <w:rFonts w:ascii="Tahoma" w:eastAsia="Calibri" w:hAnsi="Tahoma" w:cs="Tahoma"/>
          <w:color w:val="000000"/>
          <w:sz w:val="22"/>
          <w:szCs w:val="22"/>
        </w:rPr>
        <w:t>2 households until Step 3</w:t>
      </w:r>
      <w:r w:rsidRPr="00093E45">
        <w:rPr>
          <w:rFonts w:ascii="Tahoma" w:eastAsia="Calibri" w:hAnsi="Tahoma" w:cs="Tahoma"/>
          <w:color w:val="000000"/>
          <w:sz w:val="22"/>
          <w:szCs w:val="22"/>
        </w:rPr>
        <w:t xml:space="preserve">. </w:t>
      </w:r>
    </w:p>
    <w:p w14:paraId="2875C95E"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 xml:space="preserve">Instructors running classes or clubs in several venues: </w:t>
      </w:r>
      <w:r w:rsidRPr="00093E45">
        <w:rPr>
          <w:rFonts w:ascii="Tahoma" w:eastAsia="Calibri" w:hAnsi="Tahoma" w:cs="Tahoma"/>
          <w:color w:val="000000"/>
          <w:sz w:val="22"/>
          <w:szCs w:val="22"/>
        </w:rPr>
        <w:t xml:space="preserve">The instructor needs to take particular care to avoid risk of transmission from one class or venue to another. </w:t>
      </w:r>
    </w:p>
    <w:p w14:paraId="49BAD272"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Amateur sports clubs</w:t>
      </w:r>
      <w:r w:rsidRPr="00093E45">
        <w:rPr>
          <w:rFonts w:ascii="Tahoma" w:eastAsia="Calibri" w:hAnsi="Tahoma" w:cs="Tahoma"/>
          <w:color w:val="000000"/>
          <w:sz w:val="22"/>
          <w:szCs w:val="22"/>
        </w:rPr>
        <w:t xml:space="preserve">: A phased approach to return is recommended in consultation with volunteers, supported by training for volunteers around compliance with COVID-19 Secure guidelines and according to guidance from the governing body. When running activities for children the guidance for out-of-school-settings should also be used: </w:t>
      </w:r>
    </w:p>
    <w:p w14:paraId="1F283B34" w14:textId="77777777" w:rsidR="00491FED" w:rsidRPr="00093E45" w:rsidRDefault="00491FED" w:rsidP="00491FED">
      <w:pPr>
        <w:rPr>
          <w:rFonts w:ascii="Tahoma" w:eastAsia="Calibri" w:hAnsi="Tahoma" w:cs="Tahoma"/>
          <w:sz w:val="22"/>
          <w:szCs w:val="22"/>
        </w:rPr>
      </w:pPr>
      <w:hyperlink r:id="rId8" w:history="1">
        <w:r w:rsidRPr="00093E45">
          <w:rPr>
            <w:rFonts w:ascii="Tahoma" w:eastAsia="Calibri" w:hAnsi="Tahoma" w:cs="Tahoma"/>
            <w:color w:val="0563C1"/>
            <w:sz w:val="22"/>
            <w:szCs w:val="22"/>
            <w:u w:val="single"/>
          </w:rPr>
          <w:t>https://www.gov.uk/government/publications/protective-measures-for-holiday-or-after-school-clubs-and-other-out-of-school-settings-for-children-during-the-coronavirus-covid-19-outbreak/</w:t>
        </w:r>
      </w:hyperlink>
      <w:r w:rsidRPr="00093E45">
        <w:rPr>
          <w:rFonts w:ascii="Tahoma" w:eastAsia="Calibri" w:hAnsi="Tahoma" w:cs="Tahoma"/>
          <w:sz w:val="22"/>
          <w:szCs w:val="22"/>
        </w:rPr>
        <w:t xml:space="preserve">  </w:t>
      </w:r>
    </w:p>
    <w:p w14:paraId="657400EC" w14:textId="77777777" w:rsidR="00491FED" w:rsidRDefault="00491FED" w:rsidP="00491FED">
      <w:pPr>
        <w:rPr>
          <w:rFonts w:ascii="Tahoma" w:eastAsia="Calibri" w:hAnsi="Tahoma" w:cs="Tahoma"/>
          <w:b/>
          <w:bCs/>
          <w:sz w:val="22"/>
          <w:szCs w:val="22"/>
        </w:rPr>
      </w:pPr>
    </w:p>
    <w:p w14:paraId="2E543F11" w14:textId="77777777" w:rsidR="00491FED" w:rsidRPr="00093E45" w:rsidRDefault="00491FED" w:rsidP="00491FED">
      <w:pPr>
        <w:rPr>
          <w:rFonts w:ascii="Tahoma" w:eastAsia="Calibri" w:hAnsi="Tahoma" w:cs="Tahoma"/>
          <w:b/>
          <w:bCs/>
          <w:sz w:val="22"/>
          <w:szCs w:val="22"/>
        </w:rPr>
      </w:pPr>
      <w:r w:rsidRPr="00093E45">
        <w:rPr>
          <w:rFonts w:ascii="Tahoma" w:eastAsia="Calibri" w:hAnsi="Tahoma" w:cs="Tahoma"/>
          <w:b/>
          <w:bCs/>
          <w:sz w:val="22"/>
          <w:szCs w:val="22"/>
        </w:rPr>
        <w:t>Outdoor sports facilities</w:t>
      </w:r>
    </w:p>
    <w:p w14:paraId="71044724" w14:textId="77777777" w:rsidR="00491FED" w:rsidRPr="00093E45" w:rsidRDefault="00491FED" w:rsidP="00491FED">
      <w:pPr>
        <w:rPr>
          <w:rFonts w:ascii="Tahoma" w:eastAsia="Calibri" w:hAnsi="Tahoma" w:cs="Tahoma"/>
          <w:sz w:val="22"/>
          <w:szCs w:val="22"/>
        </w:rPr>
      </w:pPr>
      <w:r w:rsidRPr="00093E45">
        <w:rPr>
          <w:rFonts w:ascii="Tahoma" w:eastAsia="Calibri" w:hAnsi="Tahoma" w:cs="Tahoma"/>
          <w:sz w:val="22"/>
          <w:szCs w:val="22"/>
        </w:rPr>
        <w:t>The relevant guidance for outdoor sports is:</w:t>
      </w:r>
    </w:p>
    <w:p w14:paraId="4C2A135C" w14:textId="77777777" w:rsidR="00491FED" w:rsidRPr="00093E45" w:rsidRDefault="00491FED" w:rsidP="00491FED">
      <w:pPr>
        <w:rPr>
          <w:rFonts w:ascii="Tahoma" w:eastAsia="Calibri" w:hAnsi="Tahoma" w:cs="Tahoma"/>
          <w:sz w:val="22"/>
          <w:szCs w:val="22"/>
        </w:rPr>
      </w:pPr>
      <w:hyperlink r:id="rId9" w:history="1">
        <w:r w:rsidRPr="00093E45">
          <w:rPr>
            <w:rFonts w:ascii="Tahoma" w:eastAsia="Calibri" w:hAnsi="Tahoma" w:cs="Tahoma"/>
            <w:color w:val="0563C1"/>
            <w:sz w:val="22"/>
            <w:szCs w:val="22"/>
            <w:u w:val="single"/>
          </w:rPr>
          <w:t>https://www.gov.uk/government/publications/coronavirus-covid-19-guidance-on-phased-return-of-sport-and-recreation/guidance-for-providers-of-outdoor-facilities-on-the-phased-return-of-sport-and-recreation</w:t>
        </w:r>
      </w:hyperlink>
      <w:r w:rsidRPr="00093E45">
        <w:rPr>
          <w:rFonts w:ascii="Tahoma" w:eastAsia="Calibri" w:hAnsi="Tahoma" w:cs="Tahoma"/>
          <w:sz w:val="22"/>
          <w:szCs w:val="22"/>
        </w:rPr>
        <w:t>.</w:t>
      </w:r>
    </w:p>
    <w:p w14:paraId="05357DD4" w14:textId="77777777" w:rsidR="00491FED" w:rsidRPr="00093E45" w:rsidRDefault="00491FED" w:rsidP="00491FED">
      <w:pPr>
        <w:rPr>
          <w:rFonts w:ascii="Tahoma" w:eastAsia="Calibri" w:hAnsi="Tahoma" w:cs="Tahoma"/>
          <w:sz w:val="22"/>
          <w:szCs w:val="22"/>
          <w:lang w:eastAsia="en-GB"/>
        </w:rPr>
      </w:pPr>
    </w:p>
    <w:p w14:paraId="7028D37A" w14:textId="77777777" w:rsidR="00491FED" w:rsidRDefault="00491FED" w:rsidP="00491FED">
      <w:pPr>
        <w:rPr>
          <w:rFonts w:ascii="Tahoma" w:eastAsia="Calibri" w:hAnsi="Tahoma" w:cs="Tahoma"/>
          <w:sz w:val="22"/>
          <w:szCs w:val="22"/>
          <w:lang w:eastAsia="en-GB"/>
        </w:rPr>
      </w:pPr>
      <w:r w:rsidRPr="00093E45">
        <w:rPr>
          <w:rFonts w:ascii="Tahoma" w:eastAsia="Calibri" w:hAnsi="Tahoma" w:cs="Tahoma"/>
          <w:sz w:val="22"/>
          <w:szCs w:val="22"/>
          <w:lang w:eastAsia="en-GB"/>
        </w:rPr>
        <w:t xml:space="preserve">Businesses, charities, philanthropic and benevolent organisations, public bodies, political </w:t>
      </w:r>
      <w:proofErr w:type="gramStart"/>
      <w:r w:rsidRPr="00093E45">
        <w:rPr>
          <w:rFonts w:ascii="Tahoma" w:eastAsia="Calibri" w:hAnsi="Tahoma" w:cs="Tahoma"/>
          <w:sz w:val="22"/>
          <w:szCs w:val="22"/>
          <w:lang w:eastAsia="en-GB"/>
        </w:rPr>
        <w:lastRenderedPageBreak/>
        <w:t>organisations</w:t>
      </w:r>
      <w:proofErr w:type="gramEnd"/>
      <w:r w:rsidRPr="00093E45">
        <w:rPr>
          <w:rFonts w:ascii="Tahoma" w:eastAsia="Calibri" w:hAnsi="Tahoma" w:cs="Tahoma"/>
          <w:sz w:val="22"/>
          <w:szCs w:val="22"/>
          <w:lang w:eastAsia="en-GB"/>
        </w:rPr>
        <w:t xml:space="preserve"> and venues following COVID-19 Secure guidelines can host larger groups in outdoor spaces, provided they take reasonable steps to mitigate the risk of transmission, in line with COVID-19 Secure guidance and including completion of a risk assessment</w:t>
      </w:r>
      <w:r>
        <w:rPr>
          <w:rFonts w:ascii="Tahoma" w:eastAsia="Calibri" w:hAnsi="Tahoma" w:cs="Tahoma"/>
          <w:sz w:val="22"/>
          <w:szCs w:val="22"/>
          <w:lang w:eastAsia="en-GB"/>
        </w:rPr>
        <w:t>, subject to the rule of 6</w:t>
      </w:r>
      <w:r w:rsidRPr="00093E45">
        <w:rPr>
          <w:rFonts w:ascii="Tahoma" w:eastAsia="Calibri" w:hAnsi="Tahoma" w:cs="Tahoma"/>
          <w:sz w:val="22"/>
          <w:szCs w:val="22"/>
          <w:lang w:eastAsia="en-GB"/>
        </w:rPr>
        <w:t>. Any other gathering in an outdoor space must not be any larger than 6 people</w:t>
      </w:r>
      <w:r>
        <w:rPr>
          <w:rFonts w:ascii="Tahoma" w:eastAsia="Calibri" w:hAnsi="Tahoma" w:cs="Tahoma"/>
          <w:sz w:val="22"/>
          <w:szCs w:val="22"/>
          <w:lang w:eastAsia="en-GB"/>
        </w:rPr>
        <w:t xml:space="preserve"> or 2 households until Step 3, when up to 30 people can attend.</w:t>
      </w:r>
    </w:p>
    <w:p w14:paraId="6945E8A1" w14:textId="77777777" w:rsidR="00491FED" w:rsidRDefault="00491FED" w:rsidP="00491FED">
      <w:pPr>
        <w:rPr>
          <w:rFonts w:ascii="Tahoma" w:eastAsia="Calibri" w:hAnsi="Tahoma" w:cs="Tahoma"/>
          <w:sz w:val="22"/>
          <w:szCs w:val="22"/>
          <w:lang w:eastAsia="en-GB"/>
        </w:rPr>
      </w:pPr>
    </w:p>
    <w:p w14:paraId="39FA4553" w14:textId="77777777" w:rsidR="00491FED" w:rsidRDefault="00491FED" w:rsidP="00491FED">
      <w:pPr>
        <w:rPr>
          <w:rFonts w:ascii="Tahoma" w:eastAsia="Calibri" w:hAnsi="Tahoma" w:cs="Tahoma"/>
          <w:b/>
          <w:bCs/>
          <w:sz w:val="22"/>
          <w:szCs w:val="22"/>
          <w:lang w:eastAsia="en-GB"/>
        </w:rPr>
      </w:pPr>
      <w:r w:rsidRPr="0064111E">
        <w:rPr>
          <w:rFonts w:ascii="Tahoma" w:eastAsia="Calibri" w:hAnsi="Tahoma" w:cs="Tahoma"/>
          <w:b/>
          <w:bCs/>
          <w:sz w:val="22"/>
          <w:szCs w:val="22"/>
          <w:lang w:eastAsia="en-GB"/>
        </w:rPr>
        <w:t>FAQs:</w:t>
      </w:r>
      <w:r>
        <w:rPr>
          <w:rFonts w:ascii="Tahoma" w:eastAsia="Calibri" w:hAnsi="Tahoma" w:cs="Tahoma"/>
          <w:b/>
          <w:bCs/>
          <w:sz w:val="22"/>
          <w:szCs w:val="22"/>
          <w:lang w:eastAsia="en-GB"/>
        </w:rPr>
        <w:t xml:space="preserve"> </w:t>
      </w:r>
      <w:r w:rsidRPr="0064111E">
        <w:rPr>
          <w:rFonts w:ascii="Tahoma" w:eastAsia="Calibri" w:hAnsi="Tahoma" w:cs="Tahoma"/>
          <w:sz w:val="22"/>
          <w:szCs w:val="22"/>
          <w:lang w:eastAsia="en-GB"/>
        </w:rPr>
        <w:t>Sport England have posted answers to FAQs here:</w:t>
      </w:r>
      <w:r>
        <w:rPr>
          <w:rFonts w:ascii="Tahoma" w:eastAsia="Calibri" w:hAnsi="Tahoma" w:cs="Tahoma"/>
          <w:b/>
          <w:bCs/>
          <w:sz w:val="22"/>
          <w:szCs w:val="22"/>
          <w:lang w:eastAsia="en-GB"/>
        </w:rPr>
        <w:t xml:space="preserve"> </w:t>
      </w:r>
    </w:p>
    <w:p w14:paraId="51425D04" w14:textId="77777777" w:rsidR="00491FED" w:rsidRPr="006A3CE0" w:rsidRDefault="00491FED" w:rsidP="00491FED">
      <w:pPr>
        <w:rPr>
          <w:rFonts w:ascii="Tahoma" w:hAnsi="Tahoma" w:cs="Tahoma"/>
        </w:rPr>
      </w:pPr>
      <w:hyperlink r:id="rId10" w:history="1">
        <w:r w:rsidRPr="0052443F">
          <w:rPr>
            <w:rStyle w:val="Hyperlink"/>
            <w:rFonts w:ascii="Tahoma" w:hAnsi="Tahoma" w:cs="Tahoma"/>
            <w:shd w:val="clear" w:color="auto" w:fill="FAF8F7"/>
          </w:rPr>
          <w:t>https://www.sportengland.org/how-we-can-help/coronavirus/return-play/frequently-asked-questions-return-sport-and-activity</w:t>
        </w:r>
      </w:hyperlink>
      <w:r w:rsidRPr="006A3CE0">
        <w:rPr>
          <w:rFonts w:ascii="Tahoma" w:hAnsi="Tahoma" w:cs="Tahoma"/>
        </w:rPr>
        <w:t xml:space="preserve">. </w:t>
      </w:r>
    </w:p>
    <w:p w14:paraId="79F73073" w14:textId="77777777" w:rsidR="00491FED" w:rsidRPr="0064111E" w:rsidRDefault="00491FED" w:rsidP="00491FED">
      <w:pPr>
        <w:rPr>
          <w:rFonts w:ascii="Tahoma" w:eastAsia="Calibri" w:hAnsi="Tahoma" w:cs="Tahoma"/>
          <w:b/>
          <w:bCs/>
          <w:sz w:val="22"/>
          <w:szCs w:val="22"/>
          <w:lang w:eastAsia="en-GB"/>
        </w:rPr>
      </w:pPr>
    </w:p>
    <w:p w14:paraId="1B0AAF5B" w14:textId="77777777" w:rsidR="00491FED" w:rsidRDefault="00491FED" w:rsidP="00491FED">
      <w:pPr>
        <w:rPr>
          <w:rFonts w:ascii="Tahoma" w:eastAsia="Calibri" w:hAnsi="Tahoma" w:cs="Tahoma"/>
          <w:sz w:val="22"/>
          <w:szCs w:val="22"/>
          <w:lang w:eastAsia="en-GB"/>
        </w:rPr>
      </w:pPr>
    </w:p>
    <w:p w14:paraId="03F5E80A" w14:textId="77777777" w:rsidR="00491FED" w:rsidRDefault="00491FED" w:rsidP="00491FED">
      <w:pPr>
        <w:rPr>
          <w:rFonts w:ascii="Tahoma" w:eastAsia="Calibri" w:hAnsi="Tahoma" w:cs="Tahoma"/>
          <w:b/>
          <w:bCs/>
          <w:color w:val="00B0F0"/>
        </w:rPr>
      </w:pPr>
    </w:p>
    <w:p w14:paraId="758062A6" w14:textId="77777777" w:rsidR="00AC2585" w:rsidRDefault="00AC2585"/>
    <w:sectPr w:rsidR="00AC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341C"/>
    <w:multiLevelType w:val="hybridMultilevel"/>
    <w:tmpl w:val="ED8A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ED"/>
    <w:rsid w:val="00491FED"/>
    <w:rsid w:val="00AC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052"/>
  <w15:chartTrackingRefBased/>
  <w15:docId w15:val="{99638ABC-4479-4A04-8E48-7B8C2AFF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1FE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ve-measures-for-holiday-or-after-school-clubs-and-other-out-of-school-settings-for-children-during-the-coronavirus-covid-19-outbreak/" TargetMode="External"/><Relationship Id="rId3" Type="http://schemas.openxmlformats.org/officeDocument/2006/relationships/settings" Target="settings.xml"/><Relationship Id="rId7" Type="http://schemas.openxmlformats.org/officeDocument/2006/relationships/hyperlink" Target="https://www.gov.uk/guidance/coronavirus-covid-19-grassroots-sports-guidance-for-safe-provision-including-team-sport-contact-combat-sport-and-organised-sport-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rassroots-sports-guidance-for-safe-provision-including-team-sport-contact-combat-sport-and-organised-sport-events" TargetMode="External"/><Relationship Id="rId11" Type="http://schemas.openxmlformats.org/officeDocument/2006/relationships/fontTable" Target="fontTable.xml"/><Relationship Id="rId5" Type="http://schemas.openxmlformats.org/officeDocument/2006/relationships/hyperlink" Target="https://www.gov.uk/guidance/working-safely-during-coronavirus-covid-19/providers-of-grassroots-sport-and-gym-leisure-facilities" TargetMode="External"/><Relationship Id="rId10" Type="http://schemas.openxmlformats.org/officeDocument/2006/relationships/hyperlink" Target="https://www.sportengland.org/how-we-can-help/coronavirus/return-play/frequently-asked-questions-return-sport-and-activity"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2021-04-22T09:21:00Z</dcterms:created>
  <dcterms:modified xsi:type="dcterms:W3CDTF">2021-04-22T09:21:00Z</dcterms:modified>
</cp:coreProperties>
</file>